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8788"/>
        <w:tblBorders>
          <w:top w:val="none"/>
          <w:left w:val="none"/>
          <w:bottom w:val="none"/>
          <w:right w:val="none"/>
          <w:insideH w:val="none"/>
          <w:insideV w:val="none"/>
        </w:tblBorders>
      </w:tblPr>
      <w:tblGrid>
        <w:gridCol w:w="1740"/>
        <w:gridCol w:w="7048"/>
      </w:tblGrid>
      <w:tr>
        <w:tc>
          <w:tcPr>
            <w:tcW w:type="dxa" w:w="1740"/>
            <w:tcMar>
              <w:top w:type="dxa" w:w="0"/>
              <w:left w:type="dxa" w:w="0"/>
              <w:bottom w:type="dxa" w:w="0"/>
              <w:right w:type="dxa" w:w="140"/>
            </w:tcMar>
            <w:vAlign w:val="center"/>
          </w:tcPr>
          <w:p>
            <w:pPr>
              <w:spacing w:after="0"/>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tc>
        <w:tc>
          <w:tcPr>
            <w:tcW w:type="dxa" w:w="7048"/>
            <w:tcMar>
              <w:top w:type="dxa" w:w="0"/>
              <w:left w:type="dxa" w:w="0"/>
              <w:bottom w:type="dxa" w:w="0"/>
              <w:right w:type="dxa" w:w="0"/>
            </w:tcMar>
            <w:vAlign w:val="center"/>
          </w:tcPr>
          <w:p>
            <w:pPr>
              <w:spacing w:after="40" w:line="240"/>
            </w:pPr>
            <w:r>
              <w:rPr>
                <w:rFonts w:ascii="Times New Roman" w:cs="Times New Roman" w:eastAsia="Times New Roman" w:hAnsi="Times New Roman"/>
                <w:b/>
                <w:bCs/>
                <w:sz w:val="26"/>
                <w:szCs w:val="26"/>
              </w:rPr>
              <w:t xml:space="preserve">Transactions of the International Strabismological Association</w:t>
            </w:r>
          </w:p>
          <w:p>
            <w:pPr>
              <w:spacing w:after="0" w:line="240"/>
            </w:pPr>
            <w:r>
              <w:rPr>
                <w:rFonts w:ascii="Times New Roman" w:cs="Times New Roman" w:eastAsia="Times New Roman" w:hAnsi="Times New Roman"/>
                <w:i/>
                <w:iCs/>
                <w:sz w:val="24"/>
                <w:szCs w:val="24"/>
              </w:rPr>
              <w:t xml:space="preserve">Buenos Aires, 11–14 November 2026</w:t>
            </w:r>
          </w:p>
        </w:tc>
      </w:tr>
    </w:tbl>
    <w:p>
      <w:pPr>
        <w:pBdr>
          <w:bottom w:val="single" w:color="000000" w:sz="6" w:space="4"/>
        </w:pBdr>
        <w:spacing w:after="100" w:line="240"/>
      </w:pPr>
      <w:r>
        <w:rPr>
          <w:rFonts w:ascii="Times New Roman" w:cs="Times New Roman" w:eastAsia="Times New Roman" w:hAnsi="Times New Roman"/>
          <w:sz w:val="22"/>
          <w:szCs w:val="22"/>
        </w:rPr>
        <w:t xml:space="preserve"/>
      </w:r>
    </w:p>
    <w:p>
      <w:pPr>
        <w:spacing w:after="140" w:line="240"/>
        <w:jc w:val="center"/>
      </w:pPr>
      <w:r>
        <w:rPr>
          <w:rFonts w:ascii="Times New Roman" w:cs="Times New Roman" w:eastAsia="Times New Roman" w:hAnsi="Times New Roman"/>
          <w:b/>
          <w:bCs/>
          <w:sz w:val="24"/>
          <w:szCs w:val="24"/>
        </w:rPr>
        <w:t xml:space="preserve">Instructions for Authors and Submission Information</w:t>
      </w:r>
    </w:p>
    <w:p>
      <w:pPr>
        <w:spacing w:after="180" w:line="240"/>
      </w:pPr>
      <w:r>
        <w:rPr>
          <w:rFonts w:ascii="Times New Roman" w:cs="Times New Roman" w:eastAsia="Times New Roman" w:hAnsi="Times New Roman"/>
          <w:sz w:val="22"/>
          <w:szCs w:val="22"/>
        </w:rPr>
        <w:t xml:space="preserve">When submitting your paper to the Transactions, please follow the instructions below carefully.</w:t>
      </w:r>
    </w:p>
    <w:p>
      <w:pPr>
        <w:spacing w:after="80" w:line="240"/>
      </w:pPr>
      <w:r>
        <w:rPr>
          <w:rFonts w:ascii="Times New Roman" w:cs="Times New Roman" w:eastAsia="Times New Roman" w:hAnsi="Times New Roman"/>
          <w:b/>
          <w:bCs/>
          <w:sz w:val="22"/>
          <w:szCs w:val="22"/>
        </w:rPr>
        <w:t xml:space="preserve">1. Font and formatting</w:t>
      </w:r>
    </w:p>
    <w:p>
      <w:pPr>
        <w:spacing w:after="80" w:line="240"/>
        <w:ind w:left="340"/>
      </w:pPr>
      <w:r>
        <w:rPr>
          <w:rFonts w:ascii="Times New Roman" w:cs="Times New Roman" w:eastAsia="Times New Roman" w:hAnsi="Times New Roman"/>
          <w:sz w:val="22"/>
          <w:szCs w:val="22"/>
        </w:rPr>
        <w:t xml:space="preserve">Use the attached ISA Transactions template to ensure correct fonts, size, and formatting.</w:t>
      </w:r>
    </w:p>
    <w:p>
      <w:pPr>
        <w:spacing w:after="40" w:line="240"/>
        <w:ind w:left="680"/>
      </w:pPr>
      <w:r>
        <w:rPr>
          <w:rFonts w:ascii="Times New Roman" w:cs="Times New Roman" w:eastAsia="Times New Roman" w:hAnsi="Times New Roman"/>
          <w:sz w:val="22"/>
          <w:szCs w:val="22"/>
        </w:rPr>
        <w:t xml:space="preserve">a. File format: Word or a compatible editor.</w:t>
      </w:r>
    </w:p>
    <w:p>
      <w:pPr>
        <w:spacing w:after="40" w:line="240"/>
        <w:ind w:left="680"/>
      </w:pPr>
      <w:r>
        <w:rPr>
          <w:rFonts w:ascii="Times New Roman" w:cs="Times New Roman" w:eastAsia="Times New Roman" w:hAnsi="Times New Roman"/>
          <w:sz w:val="22"/>
          <w:szCs w:val="22"/>
        </w:rPr>
        <w:t xml:space="preserve">b. Font: Times New Roman, 11 points.</w:t>
      </w:r>
    </w:p>
    <w:p>
      <w:pPr>
        <w:spacing w:after="40" w:line="240"/>
        <w:ind w:left="680"/>
      </w:pPr>
      <w:r>
        <w:rPr>
          <w:rFonts w:ascii="Times New Roman" w:cs="Times New Roman" w:eastAsia="Times New Roman" w:hAnsi="Times New Roman"/>
          <w:sz w:val="22"/>
          <w:szCs w:val="22"/>
        </w:rPr>
        <w:t xml:space="preserve">c. Line spacing: single.</w:t>
      </w:r>
    </w:p>
    <w:p>
      <w:pPr>
        <w:spacing w:after="140" w:line="240"/>
        <w:ind w:left="680"/>
      </w:pPr>
      <w:r>
        <w:rPr>
          <w:rFonts w:ascii="Times New Roman" w:cs="Times New Roman" w:eastAsia="Times New Roman" w:hAnsi="Times New Roman"/>
          <w:sz w:val="22"/>
          <w:szCs w:val="22"/>
        </w:rPr>
        <w:t xml:space="preserve">d. Margins: left 3 cm; other sides 2–2.5 cm.</w:t>
      </w:r>
    </w:p>
    <w:p>
      <w:pPr>
        <w:spacing w:after="80" w:line="240"/>
      </w:pPr>
      <w:r>
        <w:rPr>
          <w:rFonts w:ascii="Times New Roman" w:cs="Times New Roman" w:eastAsia="Times New Roman" w:hAnsi="Times New Roman"/>
          <w:b/>
          <w:bCs/>
          <w:sz w:val="22"/>
          <w:szCs w:val="22"/>
        </w:rPr>
        <w:t xml:space="preserve">2. Main sections of the article</w:t>
      </w:r>
    </w:p>
    <w:p>
      <w:pPr>
        <w:spacing w:after="100" w:line="240"/>
        <w:ind w:left="340"/>
      </w:pPr>
      <w:r>
        <w:rPr>
          <w:rFonts w:ascii="Times New Roman" w:cs="Times New Roman" w:eastAsia="Times New Roman" w:hAnsi="Times New Roman"/>
          <w:b/>
          <w:bCs/>
          <w:sz w:val="22"/>
          <w:szCs w:val="22"/>
        </w:rPr>
        <w:t xml:space="preserve">a. Title box. </w:t>
      </w:r>
      <w:r>
        <w:rPr>
          <w:rFonts w:ascii="Times New Roman" w:cs="Times New Roman" w:eastAsia="Times New Roman" w:hAnsi="Times New Roman"/>
          <w:sz w:val="22"/>
          <w:szCs w:val="22"/>
        </w:rPr>
        <w:t xml:space="preserve">Present the title in bold. List authors as initials followed by the surname, e.g. “A. B. Author”. Use italic font for affiliations (department, institution, city, country). For authors with different affiliations, format as follows: A. B. Author</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A. B. Author</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University XXX, Department YYY, City, Country; </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University ZZZ, Department, City, Country.</w:t>
      </w:r>
    </w:p>
    <w:p>
      <w:pPr>
        <w:spacing w:after="100" w:line="240"/>
        <w:ind w:left="340"/>
      </w:pPr>
      <w:r>
        <w:rPr>
          <w:rFonts w:ascii="Times New Roman" w:cs="Times New Roman" w:eastAsia="Times New Roman" w:hAnsi="Times New Roman"/>
          <w:b/>
          <w:bCs/>
          <w:sz w:val="22"/>
          <w:szCs w:val="22"/>
        </w:rPr>
        <w:t xml:space="preserve">b. Abstract and keywords. </w:t>
      </w:r>
      <w:r>
        <w:rPr>
          <w:rFonts w:ascii="Times New Roman" w:cs="Times New Roman" w:eastAsia="Times New Roman" w:hAnsi="Times New Roman"/>
          <w:sz w:val="22"/>
          <w:szCs w:val="22"/>
        </w:rPr>
        <w:t xml:space="preserve">Limit to 250 words maximum. Structure the abstract as Objective, Methods, Results, and Conclusions. The abstract should be written as a single paragraph, without a break for each section.</w:t>
      </w:r>
    </w:p>
    <w:p>
      <w:pPr>
        <w:spacing w:after="100" w:line="240"/>
        <w:ind w:left="340"/>
      </w:pPr>
      <w:r>
        <w:rPr>
          <w:rFonts w:ascii="Times New Roman" w:cs="Times New Roman" w:eastAsia="Times New Roman" w:hAnsi="Times New Roman"/>
          <w:b/>
          <w:bCs/>
          <w:sz w:val="22"/>
          <w:szCs w:val="22"/>
        </w:rPr>
        <w:t xml:space="preserve">c. Sections for free papers and posters. </w:t>
      </w:r>
      <w:r>
        <w:rPr>
          <w:rFonts w:ascii="Times New Roman" w:cs="Times New Roman" w:eastAsia="Times New Roman" w:hAnsi="Times New Roman"/>
          <w:sz w:val="22"/>
          <w:szCs w:val="22"/>
        </w:rPr>
        <w:t xml:space="preserve">Include Introduction, Methods, Results, Discussion, Conclusions, and References.</w:t>
      </w:r>
    </w:p>
    <w:p>
      <w:pPr>
        <w:spacing w:after="140" w:line="240"/>
        <w:ind w:left="340"/>
      </w:pPr>
      <w:r>
        <w:rPr>
          <w:rFonts w:ascii="Times New Roman" w:cs="Times New Roman" w:eastAsia="Times New Roman" w:hAnsi="Times New Roman"/>
          <w:b/>
          <w:bCs/>
          <w:sz w:val="22"/>
          <w:szCs w:val="22"/>
        </w:rPr>
        <w:t xml:space="preserve">d. References. </w:t>
      </w:r>
      <w:r>
        <w:rPr>
          <w:rFonts w:ascii="Times New Roman" w:cs="Times New Roman" w:eastAsia="Times New Roman" w:hAnsi="Times New Roman"/>
          <w:sz w:val="22"/>
          <w:szCs w:val="22"/>
        </w:rPr>
        <w:t xml:space="preserve">Number references in the order in which they appear in the text, using Vancouver style. Format each reference as follows: Author(s). Title. Journal Abbreviation. Year;Volume(Issue):Page–Page. List authors by surname and initials without punctuation, including up to six; if there are more than six, list the first six followed by “et al”. Write article titles in sentence case and abbreviate journal names according to Index Medicus guidelines.</w:t>
      </w:r>
    </w:p>
    <w:p>
      <w:pPr>
        <w:spacing w:after="80" w:line="240"/>
      </w:pPr>
      <w:r>
        <w:rPr>
          <w:rFonts w:ascii="Times New Roman" w:cs="Times New Roman" w:eastAsia="Times New Roman" w:hAnsi="Times New Roman"/>
          <w:b/>
          <w:bCs/>
          <w:sz w:val="22"/>
          <w:szCs w:val="22"/>
        </w:rPr>
        <w:t xml:space="preserve">3. Figures, tables, and images</w:t>
      </w:r>
    </w:p>
    <w:p>
      <w:pPr>
        <w:spacing w:after="140" w:line="240"/>
        <w:ind w:left="340"/>
      </w:pPr>
      <w:r>
        <w:rPr>
          <w:rFonts w:ascii="Times New Roman" w:cs="Times New Roman" w:eastAsia="Times New Roman" w:hAnsi="Times New Roman"/>
          <w:sz w:val="22"/>
          <w:szCs w:val="22"/>
        </w:rPr>
        <w:t xml:space="preserve">All figures, photographs, and tables should be integrated into the manuscript as close as possible to their first mention in the text. Each must be clearly numbered and accompanied by a descriptive legend.</w:t>
      </w:r>
    </w:p>
    <w:p>
      <w:pPr>
        <w:spacing w:after="80" w:line="240"/>
      </w:pPr>
      <w:r>
        <w:rPr>
          <w:rFonts w:ascii="Times New Roman" w:cs="Times New Roman" w:eastAsia="Times New Roman" w:hAnsi="Times New Roman"/>
          <w:b/>
          <w:bCs/>
          <w:sz w:val="22"/>
          <w:szCs w:val="22"/>
        </w:rPr>
        <w:t xml:space="preserve">4. Page limits</w:t>
      </w:r>
    </w:p>
    <w:p>
      <w:pPr>
        <w:spacing w:after="140" w:line="240"/>
        <w:ind w:left="340"/>
      </w:pPr>
      <w:r>
        <w:rPr>
          <w:rFonts w:ascii="Times New Roman" w:cs="Times New Roman" w:eastAsia="Times New Roman" w:hAnsi="Times New Roman"/>
          <w:sz w:val="22"/>
          <w:szCs w:val="22"/>
        </w:rPr>
        <w:t xml:space="preserve">The total number of pages, including figures, tables, graphs, and references, must not exceed six pages (approximately 3,700–4,000 words). For Named Lectures, the page limit is twelve pages (approximately 7,500–8,000 words). Word counts are indicative; the page limit prevails, and each figure or table reduces the text that will fit.</w:t>
      </w:r>
    </w:p>
    <w:p>
      <w:pPr>
        <w:spacing w:after="80" w:line="240"/>
      </w:pPr>
      <w:r>
        <w:rPr>
          <w:rFonts w:ascii="Times New Roman" w:cs="Times New Roman" w:eastAsia="Times New Roman" w:hAnsi="Times New Roman"/>
          <w:b/>
          <w:bCs/>
          <w:sz w:val="22"/>
          <w:szCs w:val="22"/>
        </w:rPr>
        <w:t xml:space="preserve">5. Submission and deadline</w:t>
      </w:r>
    </w:p>
    <w:p>
      <w:pPr>
        <w:spacing w:after="180" w:line="240"/>
        <w:ind w:left="340"/>
      </w:pPr>
      <w:r>
        <w:rPr>
          <w:rFonts w:ascii="Times New Roman" w:cs="Times New Roman" w:eastAsia="Times New Roman" w:hAnsi="Times New Roman"/>
          <w:sz w:val="22"/>
          <w:szCs w:val="22"/>
        </w:rPr>
        <w:t xml:space="preserve">Submit your manuscript to isatransactions@isahome.org. The final submission deadline is 31 December 2026, with no extensions allowed.</w:t>
      </w:r>
    </w:p>
    <w:p>
      <w:pPr>
        <w:pBdr>
          <w:bottom w:val="single" w:color="000000" w:sz="6" w:space="4"/>
        </w:pBdr>
        <w:spacing w:after="100" w:line="240"/>
      </w:pPr>
      <w:r>
        <w:rPr>
          <w:rFonts w:ascii="Times New Roman" w:cs="Times New Roman" w:eastAsia="Times New Roman" w:hAnsi="Times New Roman"/>
          <w:sz w:val="22"/>
          <w:szCs w:val="22"/>
        </w:rPr>
        <w:t xml:space="preserve"/>
      </w:r>
    </w:p>
    <w:p>
      <w:pPr>
        <w:spacing w:after="80" w:line="240"/>
      </w:pPr>
      <w:r>
        <w:rPr>
          <w:rFonts w:ascii="Times New Roman" w:cs="Times New Roman" w:eastAsia="Times New Roman" w:hAnsi="Times New Roman"/>
          <w:b/>
          <w:bCs/>
          <w:sz w:val="22"/>
          <w:szCs w:val="22"/>
        </w:rPr>
        <w:t xml:space="preserve">Editorial Board: </w:t>
      </w:r>
      <w:r>
        <w:rPr>
          <w:rFonts w:ascii="Times New Roman" w:cs="Times New Roman" w:eastAsia="Times New Roman" w:hAnsi="Times New Roman"/>
          <w:sz w:val="22"/>
          <w:szCs w:val="22"/>
        </w:rPr>
        <w:t xml:space="preserve">Rosario Gómez de Liaño, Alejandro Armesto, Ahmed Awadein, Luis Javier Cárdenas, Amr Elkamshoushy, Yi Ning Strube.</w:t>
      </w:r>
    </w:p>
    <w:p>
      <w:pPr>
        <w:spacing w:after="0" w:line="240"/>
      </w:pPr>
      <w:r>
        <w:rPr>
          <w:rFonts w:ascii="Times New Roman" w:cs="Times New Roman" w:eastAsia="Times New Roman" w:hAnsi="Times New Roman"/>
          <w:b/>
          <w:bCs/>
          <w:sz w:val="22"/>
          <w:szCs w:val="22"/>
        </w:rPr>
        <w:t xml:space="preserve">Copyright. </w:t>
      </w:r>
      <w:r>
        <w:rPr>
          <w:rFonts w:ascii="Times New Roman" w:cs="Times New Roman" w:eastAsia="Times New Roman" w:hAnsi="Times New Roman"/>
          <w:i/>
          <w:iCs/>
          <w:sz w:val="22"/>
          <w:szCs w:val="22"/>
        </w:rPr>
        <w:t xml:space="preserve">ISA Transactions is not sold commercially and is available only to ISA Members. This approach is intended to ensure that authors avoid copyright complications when submitting their manuscripts to peer-reviewed journals for publication.</w:t>
      </w:r>
    </w:p>
    <w:sectPr>
      <w:pgSz w:w="11906" w:h="16838" w:orient="portrait"/>
      <w:pgMar w:top="1417" w:right="1417"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9d3e11cee6c7b9e06151a64bf1d432cd97692e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2026-08-07T13:13:53.881Z</dcterms:created>
  <dcterms:modified xsi:type="dcterms:W3CDTF">2026-08-07T13:13:53.881Z</dcterms:modified>
</cp:coreProperties>
</file>

<file path=docProps/custom.xml><?xml version="1.0" encoding="utf-8"?>
<Properties xmlns="http://schemas.openxmlformats.org/officeDocument/2006/custom-properties" xmlns:vt="http://schemas.openxmlformats.org/officeDocument/2006/docPropsVTypes"/>
</file>